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15F3F"/>
          <w:sz w:val="18"/>
          <w:szCs w:val="18"/>
        </w:rPr>
        <w:t xml:space="preserve">●  </w:t>
      </w:r>
      <w:r>
        <w:rPr>
          <w:b/>
          <w:bCs/>
          <w:color w:val="FF75C7"/>
          <w:sz w:val="18"/>
          <w:szCs w:val="18"/>
        </w:rPr>
        <w:t xml:space="preserve">●  </w:t>
      </w:r>
      <w:r>
        <w:rPr>
          <w:b/>
          <w:bCs/>
          <w:color w:val="9BD7FF"/>
          <w:sz w:val="18"/>
          <w:szCs w:val="18"/>
        </w:rPr>
        <w:t xml:space="preserve">●  </w:t>
      </w:r>
      <w:r>
        <w:rPr>
          <w:rFonts w:ascii="Georgia" w:cs="Georgia" w:eastAsia="Georgia" w:hAnsi="Georgia"/>
          <w:b/>
          <w:bCs/>
          <w:sz w:val="22"/>
          <w:szCs w:val="22"/>
        </w:rPr>
        <w:t xml:space="preserve">  Brandling</w:t>
      </w:r>
    </w:p>
    <w:p>
      <w:pPr>
        <w:pBdr>
          <w:bottom w:val="single" w:color="E8D5C4" w:sz="6" w:space="6"/>
        </w:pBdr>
        <w:spacing w:after="160"/>
      </w:pPr>
      <w:r>
        <w:rPr>
          <w:color w:val="715F55"/>
          <w:sz w:val="16"/>
          <w:szCs w:val="16"/>
        </w:rPr>
        <w:t xml:space="preserve">Editable creative brief template — fill in and send</w:t>
      </w:r>
    </w:p>
    <w:p>
      <w:pPr>
        <w:spacing w:after="60"/>
      </w:pPr>
      <w:r>
        <w:rPr>
          <w:rFonts w:ascii="Georgia" w:cs="Georgia" w:eastAsia="Georgia" w:hAnsi="Georgia"/>
          <w:b/>
          <w:bCs/>
          <w:color w:val="211D1C"/>
          <w:sz w:val="44"/>
          <w:szCs w:val="44"/>
        </w:rPr>
        <w:t xml:space="preserve">The creative brief</w:t>
      </w:r>
    </w:p>
    <w:p>
      <w:pPr>
        <w:spacing w:after="240"/>
      </w:pPr>
      <w:r>
        <w:rPr>
          <w:color w:val="715F55"/>
          <w:sz w:val="19"/>
          <w:szCs w:val="19"/>
        </w:rPr>
        <w:t xml:space="preserve">Half a page of clarity that saves weeks of churn. Works for designers, copywriters, photographers, developers and video. Bullet points are fine. Honesty is mandatory.</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2616"/>
        <w:gridCol w:w="2616"/>
        <w:gridCol w:w="2617"/>
        <w:gridCol w:w="2617"/>
      </w:tblGrid>
      <w:tr>
        <w:tc>
          <w:tcPr>
            <w:tcW w:type="dxa" w:w="2616"/>
            <w:tcBorders>
              <w:top w:val="none" w:color="FFFFFF" w:sz="0"/>
              <w:left w:val="none" w:color="FFFFFF" w:sz="0"/>
              <w:bottom w:val="none" w:color="FFFFFF" w:sz="0"/>
              <w:right w:val="none" w:color="FFFFFF" w:sz="0"/>
            </w:tcBorders>
            <w:shd w:fill="FEE7D5" w:val="clear"/>
            <w:tcMar>
              <w:top w:type="dxa" w:w="100"/>
              <w:left w:type="dxa" w:w="120"/>
              <w:bottom w:type="dxa" w:w="100"/>
              <w:right w:type="dxa" w:w="120"/>
            </w:tcMar>
          </w:tcPr>
          <w:p>
            <w:r>
              <w:rPr>
                <w:b/>
                <w:bCs/>
                <w:color w:val="211D1C"/>
                <w:sz w:val="15"/>
                <w:szCs w:val="15"/>
              </w:rPr>
              <w:t xml:space="preserve">PROJECT</w:t>
            </w:r>
          </w:p>
          <w:p>
            <w:pPr>
              <w:pBdr>
                <w:bottom w:val="single" w:color="D9C4B2" w:sz="4" w:space="2"/>
              </w:pBdr>
              <w:spacing w:before="160"/>
            </w:pPr>
            <w:r>
              <w:rPr>
                <w:sz w:val="20"/>
                <w:szCs w:val="20"/>
              </w:rPr>
              <w:t xml:space="preserve"> </w:t>
            </w:r>
          </w:p>
        </w:tc>
        <w:tc>
          <w:tcPr>
            <w:tcW w:type="dxa" w:w="2616"/>
            <w:tcBorders>
              <w:top w:val="none" w:color="FFFFFF" w:sz="0"/>
              <w:left w:val="none" w:color="FFFFFF" w:sz="0"/>
              <w:bottom w:val="none" w:color="FFFFFF" w:sz="0"/>
              <w:right w:val="none" w:color="FFFFFF" w:sz="0"/>
            </w:tcBorders>
            <w:shd w:fill="FEE7D5" w:val="clear"/>
            <w:tcMar>
              <w:top w:type="dxa" w:w="100"/>
              <w:left w:type="dxa" w:w="120"/>
              <w:bottom w:type="dxa" w:w="100"/>
              <w:right w:type="dxa" w:w="120"/>
            </w:tcMar>
          </w:tcPr>
          <w:p>
            <w:r>
              <w:rPr>
                <w:b/>
                <w:bCs/>
                <w:color w:val="211D1C"/>
                <w:sz w:val="15"/>
                <w:szCs w:val="15"/>
              </w:rPr>
              <w:t xml:space="preserve">DATE</w:t>
            </w:r>
          </w:p>
          <w:p>
            <w:pPr>
              <w:pBdr>
                <w:bottom w:val="single" w:color="D9C4B2" w:sz="4" w:space="2"/>
              </w:pBdr>
              <w:spacing w:before="160"/>
            </w:pPr>
            <w:r>
              <w:rPr>
                <w:sz w:val="20"/>
                <w:szCs w:val="20"/>
              </w:rPr>
              <w:t xml:space="preserve"> </w:t>
            </w:r>
          </w:p>
        </w:tc>
        <w:tc>
          <w:tcPr>
            <w:tcW w:type="dxa" w:w="2617"/>
            <w:tcBorders>
              <w:top w:val="none" w:color="FFFFFF" w:sz="0"/>
              <w:left w:val="none" w:color="FFFFFF" w:sz="0"/>
              <w:bottom w:val="none" w:color="FFFFFF" w:sz="0"/>
              <w:right w:val="none" w:color="FFFFFF" w:sz="0"/>
            </w:tcBorders>
            <w:shd w:fill="FEE7D5" w:val="clear"/>
            <w:tcMar>
              <w:top w:type="dxa" w:w="100"/>
              <w:left w:type="dxa" w:w="120"/>
              <w:bottom w:type="dxa" w:w="100"/>
              <w:right w:type="dxa" w:w="120"/>
            </w:tcMar>
          </w:tcPr>
          <w:p>
            <w:r>
              <w:rPr>
                <w:b/>
                <w:bCs/>
                <w:color w:val="211D1C"/>
                <w:sz w:val="15"/>
                <w:szCs w:val="15"/>
              </w:rPr>
              <w:t xml:space="preserve">DECIDER (one name, signs off)</w:t>
            </w:r>
          </w:p>
          <w:p>
            <w:pPr>
              <w:pBdr>
                <w:bottom w:val="single" w:color="D9C4B2" w:sz="4" w:space="2"/>
              </w:pBdr>
              <w:spacing w:before="160"/>
            </w:pPr>
            <w:r>
              <w:rPr>
                <w:sz w:val="20"/>
                <w:szCs w:val="20"/>
              </w:rPr>
              <w:t xml:space="preserve"> </w:t>
            </w:r>
          </w:p>
        </w:tc>
        <w:tc>
          <w:tcPr>
            <w:tcW w:type="dxa" w:w="2617"/>
            <w:tcBorders>
              <w:top w:val="none" w:color="FFFFFF" w:sz="0"/>
              <w:left w:val="none" w:color="FFFFFF" w:sz="0"/>
              <w:bottom w:val="none" w:color="FFFFFF" w:sz="0"/>
              <w:right w:val="none" w:color="FFFFFF" w:sz="0"/>
            </w:tcBorders>
            <w:shd w:fill="FEE7D5" w:val="clear"/>
            <w:tcMar>
              <w:top w:type="dxa" w:w="100"/>
              <w:left w:type="dxa" w:w="120"/>
              <w:bottom w:type="dxa" w:w="100"/>
              <w:right w:type="dxa" w:w="120"/>
            </w:tcMar>
          </w:tcPr>
          <w:p>
            <w:r>
              <w:rPr>
                <w:b/>
                <w:bCs/>
                <w:color w:val="211D1C"/>
                <w:sz w:val="15"/>
                <w:szCs w:val="15"/>
              </w:rPr>
              <w:t xml:space="preserve">PO / REFERENCE (if applicable)</w:t>
            </w:r>
          </w:p>
          <w:p>
            <w:pPr>
              <w:pBdr>
                <w:bottom w:val="single" w:color="D9C4B2" w:sz="4" w:space="2"/>
              </w:pBdr>
              <w:spacing w:before="160"/>
            </w:pPr>
            <w:r>
              <w:rPr>
                <w:sz w:val="20"/>
                <w:szCs w:val="20"/>
              </w:rPr>
              <w:t xml:space="preserve"> </w:t>
            </w:r>
          </w:p>
        </w:tc>
      </w:tr>
    </w:tbl>
    <w:p>
      <w:pPr>
        <w:spacing w:after="120"/>
      </w:pPr>
    </w:p>
    <w:p>
      <w:pPr>
        <w:spacing w:after="60" w:before="260"/>
      </w:pPr>
      <w:r>
        <w:rPr>
          <w:b/>
          <w:bCs/>
          <w:color w:val="F15F3F"/>
          <w:sz w:val="18"/>
          <w:szCs w:val="18"/>
        </w:rPr>
        <w:t xml:space="preserve">●  </w:t>
      </w:r>
      <w:r>
        <w:rPr>
          <w:rFonts w:ascii="Georgia" w:cs="Georgia" w:eastAsia="Georgia" w:hAnsi="Georgia"/>
          <w:b/>
          <w:bCs/>
          <w:color w:val="211D1C"/>
          <w:sz w:val="25"/>
          <w:szCs w:val="25"/>
        </w:rPr>
        <w:t xml:space="preserve">1. The job</w:t>
      </w:r>
    </w:p>
    <w:p>
      <w:pPr>
        <w:spacing w:after="40"/>
      </w:pPr>
      <w:r>
        <w:rPr>
          <w:i w:val="false"/>
          <w:iCs w:val="false"/>
          <w:color w:val="715F55"/>
          <w:sz w:val="18"/>
          <w:szCs w:val="18"/>
        </w:rPr>
        <w:t xml:space="preserve">Not the deliverable, the outcome. e.g. “Win us higher-value clients”, not “refresh the brand”.</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spacing w:after="60" w:before="260"/>
      </w:pPr>
      <w:r>
        <w:rPr>
          <w:b/>
          <w:bCs/>
          <w:color w:val="FF75C7"/>
          <w:sz w:val="18"/>
          <w:szCs w:val="18"/>
        </w:rPr>
        <w:t xml:space="preserve">●  </w:t>
      </w:r>
      <w:r>
        <w:rPr>
          <w:rFonts w:ascii="Georgia" w:cs="Georgia" w:eastAsia="Georgia" w:hAnsi="Georgia"/>
          <w:b/>
          <w:bCs/>
          <w:color w:val="211D1C"/>
          <w:sz w:val="25"/>
          <w:szCs w:val="25"/>
        </w:rPr>
        <w:t xml:space="preserve">2. Background</w:t>
      </w:r>
    </w:p>
    <w:p>
      <w:pPr>
        <w:spacing w:after="40"/>
      </w:pPr>
      <w:r>
        <w:rPr>
          <w:i w:val="false"/>
          <w:iCs w:val="false"/>
          <w:color w:val="715F55"/>
          <w:sz w:val="18"/>
          <w:szCs w:val="18"/>
        </w:rPr>
        <w:t xml:space="preserve">The context behind the job: why are we doing this now? What's been tried before, and what did it teach us? Anything already in motion this needs to fit around?</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spacing w:after="60" w:before="260"/>
      </w:pPr>
      <w:r>
        <w:rPr>
          <w:b/>
          <w:bCs/>
          <w:color w:val="9BD7FF"/>
          <w:sz w:val="18"/>
          <w:szCs w:val="18"/>
        </w:rPr>
        <w:t xml:space="preserve">●  </w:t>
      </w:r>
      <w:r>
        <w:rPr>
          <w:rFonts w:ascii="Georgia" w:cs="Georgia" w:eastAsia="Georgia" w:hAnsi="Georgia"/>
          <w:b/>
          <w:bCs/>
          <w:color w:val="211D1C"/>
          <w:sz w:val="25"/>
          <w:szCs w:val="25"/>
        </w:rPr>
        <w:t xml:space="preserve">3. Audience</w:t>
      </w:r>
    </w:p>
    <w:p>
      <w:pPr>
        <w:spacing w:after="40"/>
      </w:pPr>
      <w:r>
        <w:rPr>
          <w:i w:val="false"/>
          <w:iCs w:val="false"/>
          <w:color w:val="715F55"/>
          <w:sz w:val="18"/>
          <w:szCs w:val="18"/>
        </w:rPr>
        <w:t xml:space="preserve">Who will see it? What should they think, feel and do next? Add any audience insight you have: demographics, segments, what this group responds to.</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spacing w:after="60" w:before="260"/>
      </w:pPr>
      <w:r>
        <w:rPr>
          <w:b/>
          <w:bCs/>
          <w:color w:val="F15F3F"/>
          <w:sz w:val="18"/>
          <w:szCs w:val="18"/>
        </w:rPr>
        <w:t xml:space="preserve">●  </w:t>
      </w:r>
      <w:r>
        <w:rPr>
          <w:rFonts w:ascii="Georgia" w:cs="Georgia" w:eastAsia="Georgia" w:hAnsi="Georgia"/>
          <w:b/>
          <w:bCs/>
          <w:color w:val="211D1C"/>
          <w:sz w:val="25"/>
          <w:szCs w:val="25"/>
        </w:rPr>
        <w:t xml:space="preserve">4. Brand guidelines and references</w:t>
      </w:r>
    </w:p>
    <w:p>
      <w:pPr>
        <w:spacing w:after="40"/>
      </w:pPr>
      <w:r>
        <w:rPr>
          <w:i w:val="false"/>
          <w:iCs w:val="false"/>
          <w:color w:val="715F55"/>
          <w:sz w:val="18"/>
          <w:szCs w:val="18"/>
        </w:rPr>
        <w:t xml:space="preserve">Share your brand guidelines, they're the primary reference. No guidelines yet? Give 2–3 examples you like, and why.</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spacing w:after="60" w:before="260"/>
      </w:pPr>
      <w:r>
        <w:rPr>
          <w:b/>
          <w:bCs/>
          <w:color w:val="FF75C7"/>
          <w:sz w:val="18"/>
          <w:szCs w:val="18"/>
        </w:rPr>
        <w:t xml:space="preserve">●  </w:t>
      </w:r>
      <w:r>
        <w:rPr>
          <w:rFonts w:ascii="Georgia" w:cs="Georgia" w:eastAsia="Georgia" w:hAnsi="Georgia"/>
          <w:b/>
          <w:bCs/>
          <w:color w:val="211D1C"/>
          <w:sz w:val="25"/>
          <w:szCs w:val="25"/>
        </w:rPr>
        <w:t xml:space="preserve">5. Deliverables and channels</w:t>
      </w:r>
    </w:p>
    <w:p>
      <w:pPr>
        <w:spacing w:after="40"/>
      </w:pPr>
      <w:r>
        <w:rPr>
          <w:i w:val="false"/>
          <w:iCs w:val="false"/>
          <w:color w:val="715F55"/>
          <w:sz w:val="18"/>
          <w:szCs w:val="18"/>
        </w:rPr>
        <w:t xml:space="preserve">Exactly what's being made, formats and sizes, and every channel it will appear in. Where it lives belongs here, not in the background above. Channels agreed now, not discovered later. Adding one later is a new conversation.</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spacing w:after="60" w:before="260"/>
      </w:pPr>
      <w:r>
        <w:rPr>
          <w:b/>
          <w:bCs/>
          <w:color w:val="9BD7FF"/>
          <w:sz w:val="18"/>
          <w:szCs w:val="18"/>
        </w:rPr>
        <w:t xml:space="preserve">●  </w:t>
      </w:r>
      <w:r>
        <w:rPr>
          <w:rFonts w:ascii="Georgia" w:cs="Georgia" w:eastAsia="Georgia" w:hAnsi="Georgia"/>
          <w:b/>
          <w:bCs/>
          <w:color w:val="211D1C"/>
          <w:sz w:val="25"/>
          <w:szCs w:val="25"/>
        </w:rPr>
        <w:t xml:space="preserve">6. Timeline</w:t>
      </w:r>
    </w:p>
    <w:p>
      <w:pPr>
        <w:spacing w:after="40"/>
      </w:pPr>
      <w:r>
        <w:rPr>
          <w:i w:val="false"/>
          <w:iCs w:val="false"/>
          <w:color w:val="715F55"/>
          <w:sz w:val="18"/>
          <w:szCs w:val="18"/>
        </w:rPr>
        <w:t xml:space="preserve">Brief agreed / first round presented / consolidated feedback due / final delivery / live date.</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spacing w:after="60" w:before="260"/>
      </w:pPr>
      <w:r>
        <w:rPr>
          <w:b/>
          <w:bCs/>
          <w:color w:val="F15F3F"/>
          <w:sz w:val="18"/>
          <w:szCs w:val="18"/>
        </w:rPr>
        <w:t xml:space="preserve">●  </w:t>
      </w:r>
      <w:r>
        <w:rPr>
          <w:rFonts w:ascii="Georgia" w:cs="Georgia" w:eastAsia="Georgia" w:hAnsi="Georgia"/>
          <w:b/>
          <w:bCs/>
          <w:color w:val="211D1C"/>
          <w:sz w:val="25"/>
          <w:szCs w:val="25"/>
        </w:rPr>
        <w:t xml:space="preserve">7. Budget, boundaries and reference</w:t>
      </w:r>
    </w:p>
    <w:p>
      <w:pPr>
        <w:spacing w:after="40"/>
      </w:pPr>
      <w:r>
        <w:rPr>
          <w:i w:val="false"/>
          <w:iCs w:val="false"/>
          <w:color w:val="715F55"/>
          <w:sz w:val="18"/>
          <w:szCs w:val="18"/>
        </w:rPr>
        <w:t xml:space="preserve">The number, any non-negotiables, and your PO / cost-centre reference if one applies. State clearly whether the figure is including or excluding GST, it's a common and costly mix-up. A boundary revealed at round three is a restart.</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spacing w:after="60" w:before="260"/>
      </w:pPr>
      <w:r>
        <w:rPr>
          <w:b/>
          <w:bCs/>
          <w:color w:val="FF75C7"/>
          <w:sz w:val="18"/>
          <w:szCs w:val="18"/>
        </w:rPr>
        <w:t xml:space="preserve">●  </w:t>
      </w:r>
      <w:r>
        <w:rPr>
          <w:rFonts w:ascii="Georgia" w:cs="Georgia" w:eastAsia="Georgia" w:hAnsi="Georgia"/>
          <w:b/>
          <w:bCs/>
          <w:color w:val="211D1C"/>
          <w:sz w:val="25"/>
          <w:szCs w:val="25"/>
        </w:rPr>
        <w:t xml:space="preserve">8. Feedback and rounds</w:t>
      </w:r>
    </w:p>
    <w:p>
      <w:pPr>
        <w:spacing w:after="40"/>
      </w:pPr>
      <w:r>
        <w:rPr>
          <w:i w:val="false"/>
          <w:iCs w:val="false"/>
          <w:color w:val="715F55"/>
          <w:sz w:val="18"/>
          <w:szCs w:val="18"/>
        </w:rPr>
        <w:t xml:space="preserve">Rounds included in the price (two is standard). All feedback arrives consolidated, in one pass, from the decider. React to the problem, not the pixels.</w:t>
      </w:r>
    </w:p>
    <w:p>
      <w:pPr>
        <w:spacing w:after="40"/>
      </w:pPr>
      <w:r>
        <w:rPr>
          <w:color w:val="715F55"/>
          <w:sz w:val="18"/>
          <w:szCs w:val="18"/>
        </w:rPr>
        <w:t xml:space="preserve">Rounds included:  </w:t>
      </w:r>
      <w:r>
        <w:rPr>
          <w:color w:val="211D1C"/>
          <w:sz w:val="18"/>
          <w:szCs w:val="18"/>
        </w:rPr>
        <w:t xml:space="preserve">________</w:t>
      </w:r>
      <w:r>
        <w:rPr>
          <w:color w:val="715F55"/>
          <w:sz w:val="18"/>
          <w:szCs w:val="18"/>
        </w:rPr>
        <w:t xml:space="preserve">        A new direction after that is a new brief, and a new quote.</w:t>
      </w:r>
    </w:p>
    <w:p>
      <w:pPr>
        <w:spacing w:after="100"/>
      </w:pPr>
      <w:r>
        <w:rPr>
          <w:color w:val="715F55"/>
          <w:sz w:val="18"/>
          <w:szCs w:val="18"/>
        </w:rPr>
        <w:t xml:space="preserve">Other stakeholders to consult (they advise, they don't decide):</w:t>
      </w:r>
    </w:p>
    <w:p>
      <w:pPr>
        <w:pBdr>
          <w:bottom w:val="single" w:color="D9C4B2" w:sz="4" w:space="4"/>
        </w:pBdr>
        <w:spacing w:after="40"/>
      </w:pPr>
      <w:r>
        <w:rPr>
          <w:color w:val="211D1C"/>
          <w:sz w:val="20"/>
          <w:szCs w:val="20"/>
        </w:rPr>
        <w:t xml:space="preserve"> </w:t>
      </w:r>
    </w:p>
    <w:p>
      <w:pPr>
        <w:spacing w:after="60" w:before="260"/>
      </w:pPr>
      <w:r>
        <w:rPr>
          <w:b/>
          <w:bCs/>
          <w:color w:val="F15F3F"/>
          <w:sz w:val="18"/>
          <w:szCs w:val="18"/>
        </w:rPr>
        <w:t xml:space="preserve">●  </w:t>
      </w:r>
      <w:r>
        <w:rPr>
          <w:rFonts w:ascii="Georgia" w:cs="Georgia" w:eastAsia="Georgia" w:hAnsi="Georgia"/>
          <w:b/>
          <w:bCs/>
          <w:color w:val="211D1C"/>
          <w:sz w:val="25"/>
          <w:szCs w:val="25"/>
        </w:rPr>
        <w:t xml:space="preserve">9. Additional notes</w:t>
      </w:r>
    </w:p>
    <w:p>
      <w:pPr>
        <w:spacing w:after="40"/>
      </w:pPr>
      <w:r>
        <w:rPr>
          <w:i w:val="false"/>
          <w:iCs w:val="false"/>
          <w:color w:val="715F55"/>
          <w:sz w:val="18"/>
          <w:szCs w:val="18"/>
        </w:rPr>
        <w:t xml:space="preserve">Anything else worth flagging: sensitivities, dependencies, prior attempts, internal politics. Say it here, not three weeks in.</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p>
      <w:pPr>
        <w:pBdr>
          <w:bottom w:val="single" w:color="D9C4B2" w:sz="4" w:space="4"/>
        </w:pBdr>
        <w:spacing w:after="40"/>
      </w:pPr>
      <w:r>
        <w:rPr>
          <w:color w:val="211D1C"/>
          <w:sz w:val="20"/>
          <w:szCs w:val="20"/>
        </w:rPr>
        <w:t xml:space="preserve"> </w:t>
      </w:r>
    </w:p>
    <w:tbl>
      <w:tblPr>
        <w:tblW w:type="dxa" w:w="10466"/>
        <w:tblBorders>
          <w:top w:val="single" w:color="F15F3F" w:sz="10"/>
          <w:left w:val="single" w:color="F15F3F" w:sz="10"/>
          <w:bottom w:val="single" w:color="F15F3F" w:sz="10"/>
          <w:right w:val="single" w:color="F15F3F" w:sz="10"/>
          <w:insideH w:val="none" w:color="FFFFFF" w:sz="0"/>
          <w:insideV w:val="none" w:color="FFFFFF" w:sz="0"/>
        </w:tblBorders>
      </w:tblPr>
      <w:tblGrid>
        <w:gridCol w:w="5233"/>
        <w:gridCol w:w="5233"/>
      </w:tblGrid>
      <w:tr>
        <w:tc>
          <w:tcPr>
            <w:tcW w:type="dxa" w:w="10466"/>
            <w:gridSpan w:val="2"/>
            <w:tcBorders>
              <w:top w:val="none" w:color="FFFFFF" w:sz="0"/>
              <w:left w:val="none" w:color="FFFFFF" w:sz="0"/>
              <w:bottom w:val="none" w:color="FFFFFF" w:sz="0"/>
              <w:right w:val="none" w:color="FFFFFF" w:sz="0"/>
            </w:tcBorders>
            <w:shd w:fill="FFF4EA" w:val="clear"/>
            <w:tcMar>
              <w:top w:type="dxa" w:w="160"/>
              <w:left w:type="dxa" w:w="220"/>
              <w:bottom w:type="dxa" w:w="40"/>
              <w:right w:type="dxa" w:w="220"/>
            </w:tcMar>
          </w:tcPr>
          <w:p>
            <w:r>
              <w:rPr>
                <w:rFonts w:ascii="Georgia" w:cs="Georgia" w:eastAsia="Georgia" w:hAnsi="Georgia"/>
                <w:b/>
                <w:bCs/>
                <w:color w:val="211D1C"/>
                <w:sz w:val="21"/>
                <w:szCs w:val="21"/>
              </w:rPr>
              <w:t xml:space="preserve">Agreed and signed off</w:t>
            </w:r>
          </w:p>
        </w:tc>
      </w:tr>
      <w:tr>
        <w:tc>
          <w:tcPr>
            <w:tcW w:type="dxa" w:w="5233"/>
            <w:tcBorders>
              <w:top w:val="none" w:color="FFFFFF" w:sz="0"/>
              <w:left w:val="none" w:color="FFFFFF" w:sz="0"/>
              <w:bottom w:val="none" w:color="FFFFFF" w:sz="0"/>
              <w:right w:val="none" w:color="FFFFFF" w:sz="0"/>
            </w:tcBorders>
            <w:shd w:fill="FFF4EA" w:val="clear"/>
            <w:tcMar>
              <w:top w:type="dxa" w:w="40"/>
              <w:left w:type="dxa" w:w="220"/>
              <w:bottom w:type="dxa" w:w="160"/>
              <w:right w:type="dxa" w:w="220"/>
            </w:tcMar>
          </w:tcPr>
          <w:p>
            <w:pPr>
              <w:spacing w:after="40"/>
            </w:pPr>
            <w:r>
              <w:rPr>
                <w:color w:val="715F55"/>
                <w:sz w:val="14"/>
                <w:szCs w:val="14"/>
              </w:rPr>
              <w:t xml:space="preserve">CLIENT (THE DECIDER)</w:t>
            </w:r>
          </w:p>
          <w:p>
            <w:pPr>
              <w:pBdr>
                <w:bottom w:val="single" w:color="D9C4B2" w:sz="4" w:space="4"/>
              </w:pBdr>
              <w:spacing w:after="40"/>
            </w:pPr>
            <w:r>
              <w:rPr>
                <w:sz w:val="20"/>
                <w:szCs w:val="20"/>
              </w:rPr>
              <w:t xml:space="preserve"> </w:t>
            </w:r>
          </w:p>
          <w:p>
            <w:pPr>
              <w:spacing w:after="0"/>
            </w:pPr>
            <w:r>
              <w:rPr>
                <w:color w:val="715F55"/>
                <w:sz w:val="13"/>
                <w:szCs w:val="13"/>
              </w:rPr>
              <w:t xml:space="preserve">Signature</w:t>
            </w:r>
          </w:p>
          <w:p>
            <w:pPr>
              <w:pBdr>
                <w:bottom w:val="single" w:color="D9C4B2" w:sz="4" w:space="4"/>
              </w:pBdr>
              <w:spacing w:after="40" w:before="140"/>
            </w:pPr>
            <w:r>
              <w:rPr>
                <w:sz w:val="20"/>
                <w:szCs w:val="20"/>
              </w:rPr>
              <w:t xml:space="preserve"> </w:t>
            </w:r>
          </w:p>
          <w:p>
            <w:r>
              <w:rPr>
                <w:color w:val="715F55"/>
                <w:sz w:val="13"/>
                <w:szCs w:val="13"/>
              </w:rPr>
              <w:t xml:space="preserve">Print name          Date</w:t>
            </w:r>
          </w:p>
        </w:tc>
        <w:tc>
          <w:tcPr>
            <w:tcW w:type="dxa" w:w="5233"/>
            <w:tcBorders>
              <w:top w:val="none" w:color="FFFFFF" w:sz="0"/>
              <w:left w:val="none" w:color="FFFFFF" w:sz="0"/>
              <w:bottom w:val="none" w:color="FFFFFF" w:sz="0"/>
              <w:right w:val="none" w:color="FFFFFF" w:sz="0"/>
            </w:tcBorders>
            <w:shd w:fill="FFF4EA" w:val="clear"/>
            <w:tcMar>
              <w:top w:type="dxa" w:w="40"/>
              <w:left w:type="dxa" w:w="220"/>
              <w:bottom w:type="dxa" w:w="160"/>
              <w:right w:type="dxa" w:w="220"/>
            </w:tcMar>
          </w:tcPr>
          <w:p>
            <w:pPr>
              <w:spacing w:after="40"/>
            </w:pPr>
            <w:r>
              <w:rPr>
                <w:color w:val="715F55"/>
                <w:sz w:val="14"/>
                <w:szCs w:val="14"/>
              </w:rPr>
              <w:t xml:space="preserve">CREATIVE PARTNER</w:t>
            </w:r>
          </w:p>
          <w:p>
            <w:pPr>
              <w:pBdr>
                <w:bottom w:val="single" w:color="D9C4B2" w:sz="4" w:space="4"/>
              </w:pBdr>
              <w:spacing w:after="40"/>
            </w:pPr>
            <w:r>
              <w:rPr>
                <w:sz w:val="20"/>
                <w:szCs w:val="20"/>
              </w:rPr>
              <w:t xml:space="preserve"> </w:t>
            </w:r>
          </w:p>
          <w:p>
            <w:pPr>
              <w:spacing w:after="0"/>
            </w:pPr>
            <w:r>
              <w:rPr>
                <w:color w:val="715F55"/>
                <w:sz w:val="13"/>
                <w:szCs w:val="13"/>
              </w:rPr>
              <w:t xml:space="preserve">Signature</w:t>
            </w:r>
          </w:p>
          <w:p>
            <w:pPr>
              <w:pBdr>
                <w:bottom w:val="single" w:color="D9C4B2" w:sz="4" w:space="4"/>
              </w:pBdr>
              <w:spacing w:after="40" w:before="140"/>
            </w:pPr>
            <w:r>
              <w:rPr>
                <w:sz w:val="20"/>
                <w:szCs w:val="20"/>
              </w:rPr>
              <w:t xml:space="preserve"> </w:t>
            </w:r>
          </w:p>
          <w:p>
            <w:r>
              <w:rPr>
                <w:color w:val="715F55"/>
                <w:sz w:val="13"/>
                <w:szCs w:val="13"/>
              </w:rPr>
              <w:t xml:space="preserve">Print name          Date</w:t>
            </w:r>
          </w:p>
        </w:tc>
      </w:tr>
    </w:tbl>
    <w:p>
      <w:pPr>
        <w:spacing w:before="200"/>
      </w:pPr>
      <w:r>
        <w:rPr>
          <w:i/>
          <w:iCs/>
          <w:color w:val="715F55"/>
          <w:sz w:val="15"/>
          <w:szCs w:val="15"/>
        </w:rPr>
        <w:t xml:space="preserve">From “How to brief a designer without a marketing degree” at brandling.com.au/insights. General guidance, not legal advice; check licences and contracts for your circumstances.</w:t>
      </w:r>
    </w:p>
    <w:p>
      <w:pPr>
        <w:spacing w:before="100"/>
      </w:pPr>
      <w:hyperlink w:history="1" r:id="rIdy7czlbbcas8gqrgmrzzpz">
        <w:r>
          <w:rPr>
            <w:color w:val="F15F3F"/>
            <w:sz w:val="14"/>
            <w:szCs w:val="14"/>
            <w:u w:val="single"/>
          </w:rPr>
          <w:t xml:space="preserve">brandling.com.au</w:t>
        </w:r>
      </w:hyperlink>
      <w:r>
        <w:rPr>
          <w:color w:val="715F55"/>
          <w:sz w:val="14"/>
          <w:szCs w:val="14"/>
        </w:rPr>
        <w:t xml:space="preserve"> · Free to use and share. Made by Brandling, Sydney.</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11D1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7czlbbcas8gqrgmrzzpz" Type="http://schemas.openxmlformats.org/officeDocument/2006/relationships/hyperlink" Target="https://brandling.com.au"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2026-07-09T02:12:45.799Z</dcterms:created>
  <dcterms:modified xsi:type="dcterms:W3CDTF">2026-07-09T02:12:45.810Z</dcterms:modified>
</cp:coreProperties>
</file>

<file path=docProps/custom.xml><?xml version="1.0" encoding="utf-8"?>
<Properties xmlns="http://schemas.openxmlformats.org/officeDocument/2006/custom-properties" xmlns:vt="http://schemas.openxmlformats.org/officeDocument/2006/docPropsVTypes"/>
</file>